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7F" w:rsidRPr="00A961E2" w:rsidRDefault="001329F5" w:rsidP="00C87C9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lang w:val="en-US"/>
        </w:rPr>
      </w:pPr>
      <w:r w:rsidRPr="00A961E2">
        <w:rPr>
          <w:rFonts w:cs="Arial"/>
          <w:b/>
          <w:bCs/>
          <w:sz w:val="32"/>
          <w:szCs w:val="32"/>
          <w:lang w:val="en-US"/>
        </w:rPr>
        <w:t>SPOTKANIE KOORDYNACYJNE</w:t>
      </w:r>
    </w:p>
    <w:p w:rsidR="001329F5" w:rsidRPr="00A961E2" w:rsidRDefault="001329F5" w:rsidP="00C87C9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lang w:val="en-US"/>
        </w:rPr>
      </w:pPr>
      <w:r w:rsidRPr="00A961E2">
        <w:rPr>
          <w:rFonts w:cs="Arial"/>
          <w:b/>
          <w:bCs/>
          <w:sz w:val="32"/>
          <w:szCs w:val="32"/>
          <w:lang w:val="en-US"/>
        </w:rPr>
        <w:t>COORDINATION MEETING</w:t>
      </w:r>
    </w:p>
    <w:p w:rsidR="001329F5" w:rsidRPr="00A961E2" w:rsidRDefault="00AF5319" w:rsidP="0024197F">
      <w:pPr>
        <w:autoSpaceDE w:val="0"/>
        <w:autoSpaceDN w:val="0"/>
        <w:adjustRightInd w:val="0"/>
        <w:spacing w:after="0" w:line="240" w:lineRule="auto"/>
        <w:ind w:left="7788"/>
        <w:rPr>
          <w:rFonts w:cs="Arial"/>
          <w:b/>
          <w:bCs/>
          <w:sz w:val="32"/>
          <w:szCs w:val="32"/>
          <w:lang w:val="en-US"/>
        </w:rPr>
      </w:pPr>
      <w:r w:rsidRPr="00A961E2">
        <w:rPr>
          <w:rFonts w:cs="Arial"/>
          <w:b/>
          <w:bCs/>
          <w:sz w:val="32"/>
          <w:szCs w:val="32"/>
          <w:lang w:val="en-US"/>
        </w:rPr>
        <w:t xml:space="preserve">NR </w:t>
      </w:r>
      <w:r w:rsidR="00286216">
        <w:rPr>
          <w:rFonts w:cs="Arial"/>
          <w:b/>
          <w:bCs/>
          <w:sz w:val="32"/>
          <w:szCs w:val="32"/>
          <w:lang w:val="en-US"/>
        </w:rPr>
        <w:t>UJ01</w:t>
      </w:r>
    </w:p>
    <w:p w:rsidR="00AF5319" w:rsidRPr="00C87C9C" w:rsidRDefault="00414679" w:rsidP="0024197F">
      <w:pPr>
        <w:autoSpaceDE w:val="0"/>
        <w:autoSpaceDN w:val="0"/>
        <w:adjustRightInd w:val="0"/>
        <w:spacing w:after="0" w:line="240" w:lineRule="auto"/>
        <w:ind w:left="7788"/>
        <w:rPr>
          <w:rFonts w:cs="Arial"/>
          <w:b/>
          <w:bCs/>
          <w:sz w:val="32"/>
          <w:szCs w:val="32"/>
        </w:rPr>
      </w:pPr>
      <w:r w:rsidRPr="00C87C9C">
        <w:rPr>
          <w:rFonts w:cs="Arial"/>
          <w:b/>
          <w:bCs/>
          <w:sz w:val="32"/>
          <w:szCs w:val="32"/>
        </w:rPr>
        <w:t>Kraków</w:t>
      </w:r>
    </w:p>
    <w:p w:rsidR="00AF5319" w:rsidRPr="00C87C9C" w:rsidRDefault="00286216" w:rsidP="0086248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16</w:t>
      </w:r>
      <w:r w:rsidR="00414679" w:rsidRPr="00C87C9C">
        <w:rPr>
          <w:rFonts w:cs="Arial"/>
          <w:b/>
          <w:bCs/>
          <w:sz w:val="32"/>
          <w:szCs w:val="32"/>
        </w:rPr>
        <w:t>/04/14</w:t>
      </w:r>
    </w:p>
    <w:p w:rsidR="00C87C9C" w:rsidRPr="00C87C9C" w:rsidRDefault="00C87C9C" w:rsidP="001329F5">
      <w:pPr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t>Ustalenia ze spotkania</w:t>
      </w:r>
      <w:r w:rsidR="002C7C52">
        <w:rPr>
          <w:rFonts w:cs="Arial"/>
          <w:bCs/>
          <w:sz w:val="19"/>
          <w:szCs w:val="19"/>
        </w:rPr>
        <w:t xml:space="preserve"> z Zamawiającym, Wykonawcą i Projektantem</w:t>
      </w:r>
      <w:r>
        <w:rPr>
          <w:rFonts w:cs="Arial"/>
          <w:bCs/>
          <w:sz w:val="19"/>
          <w:szCs w:val="19"/>
        </w:rPr>
        <w:t>:</w:t>
      </w:r>
    </w:p>
    <w:tbl>
      <w:tblPr>
        <w:tblStyle w:val="Tabela-Siatka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  <w:gridCol w:w="424"/>
      </w:tblGrid>
      <w:tr w:rsidR="00424617" w:rsidRPr="00C87C9C" w:rsidTr="0087467A">
        <w:tc>
          <w:tcPr>
            <w:tcW w:w="675" w:type="dxa"/>
          </w:tcPr>
          <w:p w:rsidR="00424617" w:rsidRPr="00C87C9C" w:rsidRDefault="00424617" w:rsidP="005C2A5A">
            <w:pPr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C87C9C">
              <w:rPr>
                <w:rFonts w:cs="Arial"/>
                <w:b/>
                <w:bCs/>
                <w:sz w:val="18"/>
                <w:szCs w:val="19"/>
              </w:rPr>
              <w:t>L.P.</w:t>
            </w:r>
          </w:p>
        </w:tc>
        <w:tc>
          <w:tcPr>
            <w:tcW w:w="5529" w:type="dxa"/>
          </w:tcPr>
          <w:p w:rsidR="00424617" w:rsidRPr="00C87C9C" w:rsidRDefault="00424617" w:rsidP="005C2A5A">
            <w:pPr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C87C9C">
              <w:rPr>
                <w:rFonts w:cs="Arial"/>
                <w:b/>
                <w:bCs/>
                <w:sz w:val="18"/>
                <w:szCs w:val="19"/>
              </w:rPr>
              <w:t>Temat</w:t>
            </w:r>
          </w:p>
        </w:tc>
        <w:tc>
          <w:tcPr>
            <w:tcW w:w="1559" w:type="dxa"/>
          </w:tcPr>
          <w:p w:rsidR="00424617" w:rsidRPr="00C87C9C" w:rsidRDefault="00424617" w:rsidP="005C2A5A">
            <w:pPr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C87C9C">
              <w:rPr>
                <w:rFonts w:cs="Arial"/>
                <w:b/>
                <w:bCs/>
                <w:sz w:val="18"/>
                <w:szCs w:val="19"/>
              </w:rPr>
              <w:t>Do wykonania przez</w:t>
            </w:r>
          </w:p>
        </w:tc>
        <w:tc>
          <w:tcPr>
            <w:tcW w:w="1701" w:type="dxa"/>
          </w:tcPr>
          <w:p w:rsidR="00424617" w:rsidRPr="00C87C9C" w:rsidRDefault="00424617" w:rsidP="005C2A5A">
            <w:pPr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C87C9C">
              <w:rPr>
                <w:rFonts w:cs="Arial"/>
                <w:b/>
                <w:bCs/>
                <w:sz w:val="18"/>
                <w:szCs w:val="19"/>
              </w:rPr>
              <w:t>Termin Wykonania</w:t>
            </w:r>
          </w:p>
        </w:tc>
        <w:tc>
          <w:tcPr>
            <w:tcW w:w="424" w:type="dxa"/>
          </w:tcPr>
          <w:p w:rsidR="00424617" w:rsidRPr="00C87C9C" w:rsidRDefault="00424617" w:rsidP="001329F5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C77ADB" w:rsidRPr="00C87C9C" w:rsidTr="0087467A">
        <w:tc>
          <w:tcPr>
            <w:tcW w:w="675" w:type="dxa"/>
          </w:tcPr>
          <w:p w:rsidR="00FD1168" w:rsidRPr="00C87C9C" w:rsidRDefault="00FD1168" w:rsidP="001329F5">
            <w:pPr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5529" w:type="dxa"/>
          </w:tcPr>
          <w:p w:rsidR="001E107D" w:rsidRPr="001E107D" w:rsidRDefault="001E107D" w:rsidP="0094310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ADB" w:rsidRPr="00C87C9C" w:rsidRDefault="00C77ADB" w:rsidP="001329F5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C77ADB" w:rsidRPr="00C87C9C" w:rsidRDefault="00C77ADB" w:rsidP="001329F5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424" w:type="dxa"/>
          </w:tcPr>
          <w:p w:rsidR="00C77ADB" w:rsidRPr="00C87C9C" w:rsidRDefault="00C77ADB" w:rsidP="001329F5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C77ADB" w:rsidRPr="00C87C9C" w:rsidTr="0087467A">
        <w:trPr>
          <w:trHeight w:val="196"/>
        </w:trPr>
        <w:tc>
          <w:tcPr>
            <w:tcW w:w="675" w:type="dxa"/>
          </w:tcPr>
          <w:p w:rsidR="00C77ADB" w:rsidRPr="00C87C9C" w:rsidRDefault="002C7C52" w:rsidP="001329F5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1</w:t>
            </w:r>
          </w:p>
        </w:tc>
        <w:tc>
          <w:tcPr>
            <w:tcW w:w="5529" w:type="dxa"/>
          </w:tcPr>
          <w:p w:rsidR="00286216" w:rsidRDefault="00286216" w:rsidP="0028621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Zamawiający udostępni Wykonawcy procedury odnośnie </w:t>
            </w:r>
            <w:r>
              <w:rPr>
                <w:rFonts w:cs="Arial"/>
                <w:bCs/>
                <w:sz w:val="20"/>
                <w:szCs w:val="20"/>
              </w:rPr>
              <w:t xml:space="preserve">wymaganych </w:t>
            </w:r>
            <w:r>
              <w:rPr>
                <w:rFonts w:cs="Arial"/>
                <w:bCs/>
                <w:sz w:val="20"/>
                <w:szCs w:val="20"/>
              </w:rPr>
              <w:t>zasad współpracy</w:t>
            </w:r>
            <w:r>
              <w:rPr>
                <w:rFonts w:cs="Arial"/>
                <w:bCs/>
                <w:sz w:val="20"/>
                <w:szCs w:val="20"/>
              </w:rPr>
              <w:t xml:space="preserve"> pomiędzy stronami przy realizacji inwestycji.</w:t>
            </w:r>
          </w:p>
          <w:p w:rsidR="00C77ADB" w:rsidRPr="001E107D" w:rsidRDefault="00C77ADB" w:rsidP="0094310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63C" w:rsidRPr="00C87C9C" w:rsidRDefault="0094310A" w:rsidP="001329F5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Jerzy Boruta</w:t>
            </w:r>
          </w:p>
        </w:tc>
        <w:tc>
          <w:tcPr>
            <w:tcW w:w="1701" w:type="dxa"/>
          </w:tcPr>
          <w:p w:rsidR="00C77ADB" w:rsidRPr="00C87C9C" w:rsidRDefault="00C77ADB" w:rsidP="001329F5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424" w:type="dxa"/>
          </w:tcPr>
          <w:p w:rsidR="00F9063C" w:rsidRPr="00C87C9C" w:rsidRDefault="00F9063C" w:rsidP="001329F5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C77ADB" w:rsidRPr="00C87C9C" w:rsidTr="0087467A">
        <w:trPr>
          <w:trHeight w:val="190"/>
        </w:trPr>
        <w:tc>
          <w:tcPr>
            <w:tcW w:w="675" w:type="dxa"/>
          </w:tcPr>
          <w:p w:rsidR="00C77ADB" w:rsidRPr="00C87C9C" w:rsidRDefault="002C7C52" w:rsidP="001329F5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lastRenderedPageBreak/>
              <w:t>2</w:t>
            </w:r>
          </w:p>
        </w:tc>
        <w:tc>
          <w:tcPr>
            <w:tcW w:w="5529" w:type="dxa"/>
          </w:tcPr>
          <w:p w:rsidR="0094310A" w:rsidRDefault="0094310A" w:rsidP="0094310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poinformował</w:t>
            </w:r>
            <w:r w:rsidR="00A0237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Wykonawcę</w:t>
            </w:r>
            <w:r w:rsidR="00A02377">
              <w:rPr>
                <w:rFonts w:cs="Arial"/>
                <w:bCs/>
                <w:sz w:val="20"/>
                <w:szCs w:val="20"/>
              </w:rPr>
              <w:t xml:space="preserve"> i Projektanta</w:t>
            </w:r>
            <w:r>
              <w:rPr>
                <w:rFonts w:cs="Arial"/>
                <w:bCs/>
                <w:sz w:val="20"/>
                <w:szCs w:val="20"/>
              </w:rPr>
              <w:t xml:space="preserve">, iż przedstawicielami ze strony UJ w kwestiach technicznych jest Pan Tomasz Dąbrowski, oraz Pan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Alekander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Janeczek, natomiast</w:t>
            </w:r>
            <w:r w:rsidR="00A02377">
              <w:rPr>
                <w:rFonts w:cs="Arial"/>
                <w:bCs/>
                <w:sz w:val="20"/>
                <w:szCs w:val="20"/>
              </w:rPr>
              <w:t xml:space="preserve"> przedstawicielem</w:t>
            </w:r>
            <w:r>
              <w:rPr>
                <w:rFonts w:cs="Arial"/>
                <w:bCs/>
                <w:sz w:val="20"/>
                <w:szCs w:val="20"/>
              </w:rPr>
              <w:t xml:space="preserve"> Zarządzającego Kontraktem </w:t>
            </w:r>
            <w:r w:rsidR="00A02377">
              <w:rPr>
                <w:rFonts w:cs="Arial"/>
                <w:bCs/>
                <w:sz w:val="20"/>
                <w:szCs w:val="20"/>
              </w:rPr>
              <w:t xml:space="preserve">jest </w:t>
            </w:r>
            <w:r>
              <w:rPr>
                <w:rFonts w:cs="Arial"/>
                <w:bCs/>
                <w:sz w:val="20"/>
                <w:szCs w:val="20"/>
              </w:rPr>
              <w:t>Pan Jerzy Boruta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Probadex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  <w:p w:rsidR="002C71C0" w:rsidRPr="00C87C9C" w:rsidRDefault="002C71C0" w:rsidP="00444487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</w:p>
        </w:tc>
        <w:tc>
          <w:tcPr>
            <w:tcW w:w="1559" w:type="dxa"/>
          </w:tcPr>
          <w:p w:rsidR="00C77ADB" w:rsidRPr="00C87C9C" w:rsidRDefault="00C77ADB" w:rsidP="001329F5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C77ADB" w:rsidRPr="00C87C9C" w:rsidRDefault="00C77ADB" w:rsidP="001329F5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424" w:type="dxa"/>
          </w:tcPr>
          <w:p w:rsidR="00C77ADB" w:rsidRPr="00C87C9C" w:rsidRDefault="00C77ADB" w:rsidP="00DD5678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</w:tr>
      <w:tr w:rsidR="00E30BF1" w:rsidRPr="00C87C9C" w:rsidTr="0087467A">
        <w:tc>
          <w:tcPr>
            <w:tcW w:w="675" w:type="dxa"/>
          </w:tcPr>
          <w:p w:rsidR="00E30BF1" w:rsidRPr="00C87C9C" w:rsidRDefault="002C7C52" w:rsidP="001329F5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3</w:t>
            </w:r>
          </w:p>
        </w:tc>
        <w:tc>
          <w:tcPr>
            <w:tcW w:w="5529" w:type="dxa"/>
          </w:tcPr>
          <w:p w:rsidR="00E30BF1" w:rsidRPr="00C87C9C" w:rsidRDefault="0094310A" w:rsidP="002C7C52">
            <w:pPr>
              <w:rPr>
                <w:rFonts w:cs="Tahoma"/>
                <w:sz w:val="19"/>
                <w:szCs w:val="19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Wykonawca przedstawi </w:t>
            </w:r>
            <w:r w:rsidR="00A02377">
              <w:rPr>
                <w:rFonts w:cs="Arial"/>
                <w:bCs/>
                <w:sz w:val="20"/>
                <w:szCs w:val="20"/>
              </w:rPr>
              <w:t>listę</w:t>
            </w:r>
            <w:r>
              <w:rPr>
                <w:rFonts w:cs="Arial"/>
                <w:bCs/>
                <w:sz w:val="20"/>
                <w:szCs w:val="20"/>
              </w:rPr>
              <w:t xml:space="preserve"> osób biorących udział w </w:t>
            </w:r>
            <w:r w:rsidR="00A02377">
              <w:rPr>
                <w:rFonts w:cs="Arial"/>
                <w:bCs/>
                <w:sz w:val="20"/>
                <w:szCs w:val="20"/>
              </w:rPr>
              <w:t>realizacji inwestycji wraz ze ws</w:t>
            </w:r>
            <w:r>
              <w:rPr>
                <w:rFonts w:cs="Arial"/>
                <w:bCs/>
                <w:sz w:val="20"/>
                <w:szCs w:val="20"/>
              </w:rPr>
              <w:t xml:space="preserve">kazaniem </w:t>
            </w:r>
            <w:r>
              <w:rPr>
                <w:rFonts w:cs="Arial"/>
                <w:bCs/>
                <w:sz w:val="20"/>
                <w:szCs w:val="20"/>
              </w:rPr>
              <w:t xml:space="preserve">jednego przedstawiciela ze strony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Aldesa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odpowiedzialnego za cała realizację Inwestycji</w:t>
            </w:r>
            <w:r>
              <w:rPr>
                <w:rFonts w:cs="Arial"/>
                <w:bCs/>
                <w:sz w:val="20"/>
                <w:szCs w:val="20"/>
              </w:rPr>
              <w:t xml:space="preserve">. Wykonawca </w:t>
            </w:r>
            <w:r w:rsidR="00A02377">
              <w:rPr>
                <w:rFonts w:cs="Arial"/>
                <w:bCs/>
                <w:sz w:val="20"/>
                <w:szCs w:val="20"/>
              </w:rPr>
              <w:t>poinformował</w:t>
            </w:r>
            <w:r>
              <w:rPr>
                <w:rFonts w:cs="Arial"/>
                <w:bCs/>
                <w:sz w:val="20"/>
                <w:szCs w:val="20"/>
              </w:rPr>
              <w:t xml:space="preserve"> iż na chwilę obecna wszelką korespondencję/zapytania/informację należy </w:t>
            </w:r>
            <w:r w:rsidR="00A02377">
              <w:rPr>
                <w:rFonts w:cs="Arial"/>
                <w:bCs/>
                <w:sz w:val="20"/>
                <w:szCs w:val="20"/>
              </w:rPr>
              <w:t>adresować</w:t>
            </w:r>
            <w:r>
              <w:rPr>
                <w:rFonts w:cs="Arial"/>
                <w:bCs/>
                <w:sz w:val="20"/>
                <w:szCs w:val="20"/>
              </w:rPr>
              <w:t xml:space="preserve"> do kierownika Projektu</w:t>
            </w:r>
            <w:r w:rsidR="00A0237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Pana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Jose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Manuela Pr</w:t>
            </w:r>
            <w:r w:rsidR="00A02377">
              <w:rPr>
                <w:rFonts w:cs="Arial"/>
                <w:bCs/>
                <w:sz w:val="20"/>
                <w:szCs w:val="20"/>
              </w:rPr>
              <w:t>i</w:t>
            </w:r>
            <w:r>
              <w:rPr>
                <w:rFonts w:cs="Arial"/>
                <w:bCs/>
                <w:sz w:val="20"/>
                <w:szCs w:val="20"/>
              </w:rPr>
              <w:t>eto oraz kierownika kontraktu Pani Joanny Podgórny.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Projektant poinformował iż koordynatorem realizacji projektu ze strony ION jest Pan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Kasinowicz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natomiast szefem zespołu projektowego jest Pan Przemysław Ruchała (odpowiedzialny za wszelkie kwestie techniczne)</w:t>
            </w:r>
          </w:p>
        </w:tc>
        <w:tc>
          <w:tcPr>
            <w:tcW w:w="1559" w:type="dxa"/>
          </w:tcPr>
          <w:p w:rsidR="00E30BF1" w:rsidRPr="00C87C9C" w:rsidRDefault="0094310A" w:rsidP="001329F5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Joanna Podgórny</w:t>
            </w:r>
          </w:p>
        </w:tc>
        <w:tc>
          <w:tcPr>
            <w:tcW w:w="1701" w:type="dxa"/>
          </w:tcPr>
          <w:p w:rsidR="00E30BF1" w:rsidRPr="00C87C9C" w:rsidRDefault="00E30BF1"/>
        </w:tc>
        <w:tc>
          <w:tcPr>
            <w:tcW w:w="424" w:type="dxa"/>
          </w:tcPr>
          <w:p w:rsidR="00E30BF1" w:rsidRPr="00C87C9C" w:rsidRDefault="00E30BF1" w:rsidP="001329F5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286216" w:rsidRPr="00C87C9C" w:rsidTr="0087467A">
        <w:tc>
          <w:tcPr>
            <w:tcW w:w="675" w:type="dxa"/>
          </w:tcPr>
          <w:p w:rsidR="00286216" w:rsidRPr="00C87C9C" w:rsidRDefault="002C7C52" w:rsidP="00F817F1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4</w:t>
            </w:r>
          </w:p>
          <w:p w:rsidR="00286216" w:rsidRPr="00C87C9C" w:rsidRDefault="00286216" w:rsidP="00F817F1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5529" w:type="dxa"/>
          </w:tcPr>
          <w:p w:rsidR="00286216" w:rsidRPr="001E107D" w:rsidRDefault="00286216" w:rsidP="00F817F1">
            <w:pPr>
              <w:rPr>
                <w:rFonts w:cs="Arial"/>
                <w:bCs/>
                <w:sz w:val="20"/>
                <w:szCs w:val="20"/>
              </w:rPr>
            </w:pPr>
            <w:r w:rsidRPr="001E107D">
              <w:rPr>
                <w:rFonts w:cs="Arial"/>
                <w:bCs/>
                <w:sz w:val="20"/>
                <w:szCs w:val="20"/>
              </w:rPr>
              <w:t>ION</w:t>
            </w:r>
            <w:r>
              <w:rPr>
                <w:rFonts w:cs="Arial"/>
                <w:bCs/>
                <w:sz w:val="20"/>
                <w:szCs w:val="20"/>
              </w:rPr>
              <w:t xml:space="preserve"> Architekci przedstawili wstępny draft koncepcji</w:t>
            </w:r>
            <w:r w:rsidRPr="001E107D">
              <w:rPr>
                <w:rFonts w:cs="Arial"/>
                <w:bCs/>
                <w:sz w:val="20"/>
                <w:szCs w:val="20"/>
              </w:rPr>
              <w:t xml:space="preserve"> ,</w:t>
            </w:r>
            <w:r>
              <w:rPr>
                <w:rFonts w:cs="Arial"/>
                <w:bCs/>
                <w:sz w:val="20"/>
                <w:szCs w:val="20"/>
              </w:rPr>
              <w:t xml:space="preserve"> (wstępny szkic rzutów, przekrój, bryła)</w:t>
            </w:r>
            <w:r w:rsidR="0094310A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86216" w:rsidRPr="00C87C9C" w:rsidRDefault="00286216"/>
        </w:tc>
        <w:tc>
          <w:tcPr>
            <w:tcW w:w="424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286216" w:rsidRPr="00C87C9C" w:rsidTr="0087467A">
        <w:tc>
          <w:tcPr>
            <w:tcW w:w="675" w:type="dxa"/>
          </w:tcPr>
          <w:p w:rsidR="00286216" w:rsidRPr="00C87C9C" w:rsidRDefault="002C7C52" w:rsidP="00F817F1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5</w:t>
            </w:r>
          </w:p>
        </w:tc>
        <w:tc>
          <w:tcPr>
            <w:tcW w:w="5529" w:type="dxa"/>
          </w:tcPr>
          <w:p w:rsidR="00286216" w:rsidRPr="00C87C9C" w:rsidRDefault="0094310A" w:rsidP="0094310A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Zamawiający zwrócił uwagę iż Pytania i Odpowiedzi do SIWZ zawierają już część odpowiedzi na przesłane w dniu 14.04  pytania projektantów.</w:t>
            </w:r>
          </w:p>
        </w:tc>
        <w:tc>
          <w:tcPr>
            <w:tcW w:w="1559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86216" w:rsidRPr="00C87C9C" w:rsidRDefault="00286216"/>
        </w:tc>
        <w:tc>
          <w:tcPr>
            <w:tcW w:w="424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286216" w:rsidRPr="00C87C9C" w:rsidTr="0087467A">
        <w:tc>
          <w:tcPr>
            <w:tcW w:w="675" w:type="dxa"/>
          </w:tcPr>
          <w:p w:rsidR="00286216" w:rsidRPr="00C87C9C" w:rsidRDefault="002C7C52" w:rsidP="00F817F1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6</w:t>
            </w:r>
          </w:p>
        </w:tc>
        <w:tc>
          <w:tcPr>
            <w:tcW w:w="5529" w:type="dxa"/>
          </w:tcPr>
          <w:p w:rsidR="00286216" w:rsidRDefault="0094310A" w:rsidP="00F817F1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Zamawiający, Wykonawca i Projektant ustalili termin cotygodniowych spotkań </w:t>
            </w:r>
            <w:proofErr w:type="spellStart"/>
            <w:r>
              <w:rPr>
                <w:rFonts w:cs="Tahoma"/>
                <w:sz w:val="19"/>
                <w:szCs w:val="19"/>
              </w:rPr>
              <w:t>koordnacyjnych</w:t>
            </w:r>
            <w:proofErr w:type="spellEnd"/>
            <w:r>
              <w:rPr>
                <w:rFonts w:cs="Tahoma"/>
                <w:sz w:val="19"/>
                <w:szCs w:val="19"/>
              </w:rPr>
              <w:t xml:space="preserve"> w każdy czwartek o go</w:t>
            </w:r>
            <w:r w:rsidR="00A02377">
              <w:rPr>
                <w:rFonts w:cs="Tahoma"/>
                <w:sz w:val="19"/>
                <w:szCs w:val="19"/>
              </w:rPr>
              <w:t>dzinie 13:00 na terenie kampusu przy ul Gronostajowej 3</w:t>
            </w:r>
          </w:p>
          <w:p w:rsidR="0094310A" w:rsidRPr="00C87C9C" w:rsidRDefault="0094310A" w:rsidP="00F817F1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</w:p>
        </w:tc>
        <w:tc>
          <w:tcPr>
            <w:tcW w:w="1559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86216" w:rsidRPr="00C87C9C" w:rsidRDefault="00286216"/>
        </w:tc>
        <w:tc>
          <w:tcPr>
            <w:tcW w:w="424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286216" w:rsidRPr="00C87C9C" w:rsidTr="0087467A">
        <w:tc>
          <w:tcPr>
            <w:tcW w:w="675" w:type="dxa"/>
          </w:tcPr>
          <w:p w:rsidR="00286216" w:rsidRPr="00C87C9C" w:rsidRDefault="002C7C52" w:rsidP="002D6CAC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7</w:t>
            </w:r>
          </w:p>
        </w:tc>
        <w:tc>
          <w:tcPr>
            <w:tcW w:w="5529" w:type="dxa"/>
          </w:tcPr>
          <w:p w:rsidR="00A02377" w:rsidRDefault="0094310A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Ustalono iż na spotkaniu koordy</w:t>
            </w:r>
            <w:r w:rsidR="00A02377">
              <w:rPr>
                <w:rFonts w:cs="Tahoma"/>
                <w:sz w:val="19"/>
                <w:szCs w:val="19"/>
              </w:rPr>
              <w:t>nacyjnym w dniu 17.04.14 zostaną</w:t>
            </w:r>
            <w:r>
              <w:rPr>
                <w:rFonts w:cs="Tahoma"/>
                <w:sz w:val="19"/>
                <w:szCs w:val="19"/>
              </w:rPr>
              <w:t xml:space="preserve"> omówione kwestie organizacyjne związane z </w:t>
            </w:r>
            <w:r w:rsidR="00A02377">
              <w:rPr>
                <w:rFonts w:cs="Tahoma"/>
                <w:sz w:val="19"/>
                <w:szCs w:val="19"/>
              </w:rPr>
              <w:t>t</w:t>
            </w:r>
            <w:r>
              <w:rPr>
                <w:rFonts w:cs="Tahoma"/>
                <w:sz w:val="19"/>
                <w:szCs w:val="19"/>
              </w:rPr>
              <w:t>erenem budowy tj.</w:t>
            </w:r>
            <w:r w:rsidR="00A02377">
              <w:rPr>
                <w:rFonts w:cs="Tahoma"/>
                <w:sz w:val="19"/>
                <w:szCs w:val="19"/>
              </w:rPr>
              <w:t>:</w:t>
            </w:r>
          </w:p>
          <w:p w:rsidR="00A02377" w:rsidRDefault="00A02377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>- możliwy termin przejęcia terenu budowy (Wykonawca zwrócił się z prośbą o umożliwienie tego z końcem miesiąca sierpnia 2014)</w:t>
            </w:r>
          </w:p>
          <w:p w:rsidR="00A02377" w:rsidRDefault="00A02377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- </w:t>
            </w:r>
            <w:r w:rsidR="002C7C52">
              <w:rPr>
                <w:rFonts w:cs="Tahoma"/>
                <w:sz w:val="19"/>
                <w:szCs w:val="19"/>
              </w:rPr>
              <w:t>możliwość usunięcia</w:t>
            </w:r>
            <w:r>
              <w:rPr>
                <w:rFonts w:cs="Tahoma"/>
                <w:sz w:val="19"/>
                <w:szCs w:val="19"/>
              </w:rPr>
              <w:t xml:space="preserve"> stacji </w:t>
            </w:r>
            <w:proofErr w:type="spellStart"/>
            <w:r>
              <w:rPr>
                <w:rFonts w:cs="Tahoma"/>
                <w:sz w:val="19"/>
                <w:szCs w:val="19"/>
              </w:rPr>
              <w:t>metooroligicznej</w:t>
            </w:r>
            <w:proofErr w:type="spellEnd"/>
            <w:r>
              <w:rPr>
                <w:rFonts w:cs="Tahoma"/>
                <w:sz w:val="19"/>
                <w:szCs w:val="19"/>
              </w:rPr>
              <w:t xml:space="preserve"> znajdującej się na terenie budowy</w:t>
            </w:r>
          </w:p>
          <w:p w:rsidR="00A02377" w:rsidRDefault="00A02377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- miejsca możliwego  podpięcia tymczasowego podłączenia </w:t>
            </w:r>
            <w:proofErr w:type="spellStart"/>
            <w:r w:rsidR="002C7C52">
              <w:rPr>
                <w:rFonts w:cs="Tahoma"/>
                <w:sz w:val="19"/>
                <w:szCs w:val="19"/>
              </w:rPr>
              <w:t>eleketryki</w:t>
            </w:r>
            <w:proofErr w:type="spellEnd"/>
            <w:r w:rsidR="002C7C52">
              <w:rPr>
                <w:rFonts w:cs="Tahoma"/>
                <w:sz w:val="19"/>
                <w:szCs w:val="19"/>
              </w:rPr>
              <w:t xml:space="preserve"> i wody na pot</w:t>
            </w:r>
            <w:r>
              <w:rPr>
                <w:rFonts w:cs="Tahoma"/>
                <w:sz w:val="19"/>
                <w:szCs w:val="19"/>
              </w:rPr>
              <w:t>rzeby zaplecza budowy</w:t>
            </w:r>
          </w:p>
          <w:p w:rsidR="00286216" w:rsidRDefault="00A02377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- </w:t>
            </w:r>
            <w:r w:rsidR="002C7C52">
              <w:rPr>
                <w:rFonts w:cs="Tahoma"/>
                <w:sz w:val="19"/>
                <w:szCs w:val="19"/>
              </w:rPr>
              <w:t xml:space="preserve">możliwości wyznaczenia </w:t>
            </w:r>
            <w:r>
              <w:rPr>
                <w:rFonts w:cs="Tahoma"/>
                <w:sz w:val="19"/>
                <w:szCs w:val="19"/>
              </w:rPr>
              <w:t xml:space="preserve">dodatkowych terenów które mogą zostać przeznaczone pod odwierty dla geotermalnych pomp ciepła  </w:t>
            </w:r>
            <w:r w:rsidR="0094310A">
              <w:rPr>
                <w:rFonts w:cs="Tahoma"/>
                <w:sz w:val="19"/>
                <w:szCs w:val="19"/>
              </w:rPr>
              <w:t xml:space="preserve"> </w:t>
            </w:r>
          </w:p>
          <w:p w:rsidR="002C7C52" w:rsidRPr="00C87C9C" w:rsidRDefault="002C7C52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- lokalizacja stacji </w:t>
            </w:r>
            <w:proofErr w:type="spellStart"/>
            <w:r>
              <w:rPr>
                <w:rFonts w:cs="Tahoma"/>
                <w:sz w:val="19"/>
                <w:szCs w:val="19"/>
              </w:rPr>
              <w:t>trafo</w:t>
            </w:r>
            <w:proofErr w:type="spellEnd"/>
          </w:p>
        </w:tc>
        <w:tc>
          <w:tcPr>
            <w:tcW w:w="1559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86216" w:rsidRPr="00C87C9C" w:rsidRDefault="00286216"/>
        </w:tc>
        <w:tc>
          <w:tcPr>
            <w:tcW w:w="424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286216" w:rsidRPr="00C87C9C" w:rsidTr="0087467A">
        <w:tc>
          <w:tcPr>
            <w:tcW w:w="675" w:type="dxa"/>
          </w:tcPr>
          <w:p w:rsidR="00286216" w:rsidRPr="00C87C9C" w:rsidRDefault="002C7C52" w:rsidP="002D6CAC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8</w:t>
            </w:r>
          </w:p>
        </w:tc>
        <w:tc>
          <w:tcPr>
            <w:tcW w:w="5529" w:type="dxa"/>
          </w:tcPr>
          <w:p w:rsidR="00286216" w:rsidRPr="00C87C9C" w:rsidRDefault="00A02377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Wykonawca/ Projektanci zasygnalizował problemy związane </w:t>
            </w:r>
            <w:r w:rsidR="00F343D0">
              <w:rPr>
                <w:rFonts w:cs="Tahoma"/>
                <w:sz w:val="19"/>
                <w:szCs w:val="19"/>
              </w:rPr>
              <w:t>z brakiem wystarczającego miejsca pod geotermalne odwierty przy założeniu że pompa ciepła miałaby pok</w:t>
            </w:r>
            <w:r w:rsidR="002C7C52">
              <w:rPr>
                <w:rFonts w:cs="Tahoma"/>
                <w:sz w:val="19"/>
                <w:szCs w:val="19"/>
              </w:rPr>
              <w:t>ryć 100% zapotrzebowania na moc (szacunkowe zapotrzebowanie na chwilę obecną to 500kw-600kw</w:t>
            </w:r>
          </w:p>
        </w:tc>
        <w:tc>
          <w:tcPr>
            <w:tcW w:w="1559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86216" w:rsidRPr="00C87C9C" w:rsidRDefault="00286216"/>
        </w:tc>
        <w:tc>
          <w:tcPr>
            <w:tcW w:w="424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286216" w:rsidRPr="00C87C9C" w:rsidTr="0087467A">
        <w:tc>
          <w:tcPr>
            <w:tcW w:w="675" w:type="dxa"/>
          </w:tcPr>
          <w:p w:rsidR="00286216" w:rsidRPr="00C87C9C" w:rsidRDefault="002C7C52" w:rsidP="002D6CAC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9</w:t>
            </w:r>
          </w:p>
        </w:tc>
        <w:tc>
          <w:tcPr>
            <w:tcW w:w="5529" w:type="dxa"/>
          </w:tcPr>
          <w:p w:rsidR="00286216" w:rsidRPr="00C87C9C" w:rsidRDefault="00F343D0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Zamawiający zwrócił uwagę iż projektowany budynek powinien być oszczędny i ekonomiczny  w użytkowaniu oraz zwrócił się z prośbą o dostosowanie projektowanych systemów niskoprądowych do obecnie istniejących w pozostałych budynkach Kampusu. Wykonawca zwrócił się z prośba o udostępnienie dokumentacji technicznej BMS innych budynków. Pan </w:t>
            </w:r>
            <w:proofErr w:type="spellStart"/>
            <w:r>
              <w:rPr>
                <w:rFonts w:cs="Tahoma"/>
                <w:sz w:val="19"/>
                <w:szCs w:val="19"/>
              </w:rPr>
              <w:t>Pikulski</w:t>
            </w:r>
            <w:proofErr w:type="spellEnd"/>
            <w:r>
              <w:rPr>
                <w:rFonts w:cs="Tahoma"/>
                <w:sz w:val="19"/>
                <w:szCs w:val="19"/>
              </w:rPr>
              <w:t xml:space="preserve"> potwierdził możliwość </w:t>
            </w:r>
            <w:proofErr w:type="spellStart"/>
            <w:r>
              <w:rPr>
                <w:rFonts w:cs="Tahoma"/>
                <w:sz w:val="19"/>
                <w:szCs w:val="19"/>
              </w:rPr>
              <w:t>udostęnienia</w:t>
            </w:r>
            <w:proofErr w:type="spellEnd"/>
            <w:r>
              <w:rPr>
                <w:rFonts w:cs="Tahoma"/>
                <w:sz w:val="19"/>
                <w:szCs w:val="19"/>
              </w:rPr>
              <w:t xml:space="preserve"> dokumentacji.</w:t>
            </w:r>
          </w:p>
        </w:tc>
        <w:tc>
          <w:tcPr>
            <w:tcW w:w="1559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86216" w:rsidRPr="00C87C9C" w:rsidRDefault="00286216"/>
        </w:tc>
        <w:tc>
          <w:tcPr>
            <w:tcW w:w="424" w:type="dxa"/>
          </w:tcPr>
          <w:p w:rsidR="00286216" w:rsidRPr="00C87C9C" w:rsidRDefault="00286216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F343D0" w:rsidRPr="00C87C9C" w:rsidTr="0087467A">
        <w:tc>
          <w:tcPr>
            <w:tcW w:w="675" w:type="dxa"/>
          </w:tcPr>
          <w:p w:rsidR="00F343D0" w:rsidRPr="00C87C9C" w:rsidRDefault="002C7C52" w:rsidP="002D6CAC">
            <w:pPr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10</w:t>
            </w:r>
          </w:p>
        </w:tc>
        <w:tc>
          <w:tcPr>
            <w:tcW w:w="5529" w:type="dxa"/>
          </w:tcPr>
          <w:p w:rsidR="00F343D0" w:rsidRDefault="002C7C52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  <w:t xml:space="preserve">Zamawiający poinformował iż Zarządzający Kontraktem firma </w:t>
            </w:r>
            <w:proofErr w:type="spellStart"/>
            <w:r>
              <w:rPr>
                <w:rFonts w:cs="Tahoma"/>
                <w:sz w:val="19"/>
                <w:szCs w:val="19"/>
              </w:rPr>
              <w:t>Probadex</w:t>
            </w:r>
            <w:proofErr w:type="spellEnd"/>
            <w:r>
              <w:rPr>
                <w:rFonts w:cs="Tahoma"/>
                <w:sz w:val="19"/>
                <w:szCs w:val="19"/>
              </w:rPr>
              <w:t xml:space="preserve"> będzie odpowiedzialna za kontrole jakości BQU TUV</w:t>
            </w:r>
          </w:p>
        </w:tc>
        <w:tc>
          <w:tcPr>
            <w:tcW w:w="1559" w:type="dxa"/>
          </w:tcPr>
          <w:p w:rsidR="00F343D0" w:rsidRPr="00C87C9C" w:rsidRDefault="00F343D0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F343D0" w:rsidRPr="00C87C9C" w:rsidRDefault="00F343D0"/>
        </w:tc>
        <w:tc>
          <w:tcPr>
            <w:tcW w:w="424" w:type="dxa"/>
          </w:tcPr>
          <w:p w:rsidR="00F343D0" w:rsidRPr="00C87C9C" w:rsidRDefault="00F343D0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</w:tr>
      <w:tr w:rsidR="002C7C52" w:rsidRPr="00C87C9C" w:rsidTr="0087467A">
        <w:tc>
          <w:tcPr>
            <w:tcW w:w="675" w:type="dxa"/>
          </w:tcPr>
          <w:p w:rsidR="002C7C52" w:rsidRDefault="002C7C52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5529" w:type="dxa"/>
          </w:tcPr>
          <w:p w:rsidR="002C7C52" w:rsidRDefault="002C7C52" w:rsidP="00DA7224">
            <w:pPr>
              <w:autoSpaceDE w:val="0"/>
              <w:autoSpaceDN w:val="0"/>
              <w:adjustRightInd w:val="0"/>
              <w:rPr>
                <w:rFonts w:cs="Tahoma"/>
                <w:sz w:val="19"/>
                <w:szCs w:val="19"/>
              </w:rPr>
            </w:pPr>
          </w:p>
        </w:tc>
        <w:tc>
          <w:tcPr>
            <w:tcW w:w="1559" w:type="dxa"/>
          </w:tcPr>
          <w:p w:rsidR="002C7C52" w:rsidRPr="00C87C9C" w:rsidRDefault="002C7C52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:rsidR="002C7C52" w:rsidRPr="00C87C9C" w:rsidRDefault="002C7C52"/>
        </w:tc>
        <w:tc>
          <w:tcPr>
            <w:tcW w:w="424" w:type="dxa"/>
          </w:tcPr>
          <w:p w:rsidR="002C7C52" w:rsidRPr="00C87C9C" w:rsidRDefault="002C7C52" w:rsidP="002D6CAC">
            <w:pPr>
              <w:rPr>
                <w:rFonts w:cs="Arial"/>
                <w:bCs/>
                <w:sz w:val="19"/>
                <w:szCs w:val="19"/>
              </w:rPr>
            </w:pPr>
          </w:p>
        </w:tc>
      </w:tr>
    </w:tbl>
    <w:p w:rsidR="00990D52" w:rsidRDefault="00990D52" w:rsidP="007D1E23">
      <w:pPr>
        <w:rPr>
          <w:rFonts w:cs="Arial"/>
          <w:bCs/>
          <w:sz w:val="19"/>
          <w:szCs w:val="19"/>
        </w:rPr>
      </w:pPr>
    </w:p>
    <w:p w:rsidR="007D1E23" w:rsidRPr="00C87C9C" w:rsidRDefault="00C87C9C" w:rsidP="007D1E23">
      <w:pPr>
        <w:rPr>
          <w:rFonts w:cs="Arial"/>
          <w:bCs/>
          <w:sz w:val="19"/>
          <w:szCs w:val="19"/>
        </w:rPr>
      </w:pPr>
      <w:r w:rsidRPr="00C87C9C">
        <w:rPr>
          <w:rFonts w:cs="Arial"/>
          <w:bCs/>
          <w:sz w:val="19"/>
          <w:szCs w:val="19"/>
        </w:rPr>
        <w:t>Termin następnego spotkania:</w:t>
      </w:r>
      <w:r w:rsidR="00F343D0">
        <w:rPr>
          <w:rFonts w:cs="Arial"/>
          <w:bCs/>
          <w:sz w:val="19"/>
          <w:szCs w:val="19"/>
        </w:rPr>
        <w:t xml:space="preserve"> 17</w:t>
      </w:r>
      <w:r w:rsidR="002C7C52">
        <w:rPr>
          <w:rFonts w:cs="Arial"/>
          <w:bCs/>
          <w:sz w:val="19"/>
          <w:szCs w:val="19"/>
        </w:rPr>
        <w:t>.04.14r godz. 13</w:t>
      </w:r>
      <w:r>
        <w:rPr>
          <w:rFonts w:cs="Arial"/>
          <w:bCs/>
          <w:sz w:val="19"/>
          <w:szCs w:val="19"/>
        </w:rPr>
        <w:t>:00 ul G</w:t>
      </w:r>
      <w:r w:rsidR="002C7C52">
        <w:rPr>
          <w:rFonts w:cs="Arial"/>
          <w:bCs/>
          <w:sz w:val="19"/>
          <w:szCs w:val="19"/>
        </w:rPr>
        <w:t>ronostajowa 3 (budynek CBP)</w:t>
      </w:r>
      <w:bookmarkStart w:id="0" w:name="_GoBack"/>
      <w:bookmarkEnd w:id="0"/>
      <w:r>
        <w:rPr>
          <w:rFonts w:cs="Arial"/>
          <w:bCs/>
          <w:sz w:val="19"/>
          <w:szCs w:val="19"/>
        </w:rPr>
        <w:t>, Kraków</w:t>
      </w:r>
    </w:p>
    <w:p w:rsidR="00DD5678" w:rsidRPr="00C87C9C" w:rsidRDefault="00DD5678" w:rsidP="001329F5">
      <w:pPr>
        <w:rPr>
          <w:rFonts w:cs="Arial"/>
          <w:bCs/>
          <w:sz w:val="19"/>
          <w:szCs w:val="19"/>
        </w:rPr>
      </w:pPr>
    </w:p>
    <w:p w:rsidR="0024197F" w:rsidRPr="00C87C9C" w:rsidRDefault="0024197F" w:rsidP="002419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87C9C">
        <w:rPr>
          <w:rFonts w:cs="Arial"/>
          <w:b/>
          <w:bCs/>
          <w:sz w:val="24"/>
          <w:szCs w:val="24"/>
        </w:rPr>
        <w:t>** Uczestnicy spotkania powinni przesłać ewentualne uwagi do treści powyższej notatki</w:t>
      </w:r>
      <w:r w:rsidR="001A4C4C">
        <w:rPr>
          <w:rFonts w:cs="Arial"/>
          <w:b/>
          <w:bCs/>
          <w:sz w:val="24"/>
          <w:szCs w:val="24"/>
        </w:rPr>
        <w:t xml:space="preserve"> do </w:t>
      </w:r>
      <w:r w:rsidR="00F343D0">
        <w:rPr>
          <w:rFonts w:cs="Arial"/>
          <w:b/>
          <w:bCs/>
          <w:sz w:val="24"/>
          <w:szCs w:val="24"/>
        </w:rPr>
        <w:t>24 godzin od chwili otrzymania niniejszego dokumentu</w:t>
      </w:r>
      <w:r w:rsidRPr="00C87C9C">
        <w:rPr>
          <w:rFonts w:cs="Arial"/>
          <w:b/>
          <w:bCs/>
          <w:sz w:val="24"/>
          <w:szCs w:val="24"/>
        </w:rPr>
        <w:t>. W przeciwnym wypadku notatka zostanie uznana za zaakceptowaną.</w:t>
      </w:r>
    </w:p>
    <w:p w:rsidR="0024197F" w:rsidRPr="00C87C9C" w:rsidRDefault="0024197F" w:rsidP="0024197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87C9C">
        <w:rPr>
          <w:rFonts w:cs="Arial"/>
          <w:sz w:val="20"/>
          <w:szCs w:val="20"/>
        </w:rPr>
        <w:t>Załączniki /Attachments: lista obecności / attendance list</w:t>
      </w:r>
    </w:p>
    <w:p w:rsidR="00BE31A5" w:rsidRPr="00C87C9C" w:rsidRDefault="00BE31A5" w:rsidP="0024197F">
      <w:pPr>
        <w:rPr>
          <w:rFonts w:cs="Arial"/>
          <w:sz w:val="24"/>
          <w:szCs w:val="24"/>
        </w:rPr>
      </w:pPr>
    </w:p>
    <w:p w:rsidR="00C77ADB" w:rsidRPr="00C87C9C" w:rsidRDefault="00491680" w:rsidP="0024197F">
      <w:pPr>
        <w:rPr>
          <w:rFonts w:cs="Arial"/>
          <w:sz w:val="24"/>
          <w:szCs w:val="24"/>
        </w:rPr>
      </w:pPr>
      <w:r w:rsidRPr="00C87C9C">
        <w:rPr>
          <w:rFonts w:cs="Arial"/>
          <w:sz w:val="24"/>
          <w:szCs w:val="24"/>
        </w:rPr>
        <w:t xml:space="preserve">Opracował: </w:t>
      </w:r>
      <w:r w:rsidR="00C87C9C">
        <w:rPr>
          <w:rFonts w:cs="Arial"/>
          <w:sz w:val="24"/>
          <w:szCs w:val="24"/>
        </w:rPr>
        <w:t>Joanna Podgórny</w:t>
      </w:r>
    </w:p>
    <w:sectPr w:rsidR="00C77ADB" w:rsidRPr="00C87C9C" w:rsidSect="00C87C9C">
      <w:headerReference w:type="default" r:id="rId9"/>
      <w:pgSz w:w="11906" w:h="16838"/>
      <w:pgMar w:top="10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9E" w:rsidRDefault="002D4C9E" w:rsidP="00AB2B82">
      <w:pPr>
        <w:spacing w:after="0" w:line="240" w:lineRule="auto"/>
      </w:pPr>
      <w:r>
        <w:separator/>
      </w:r>
    </w:p>
  </w:endnote>
  <w:endnote w:type="continuationSeparator" w:id="0">
    <w:p w:rsidR="002D4C9E" w:rsidRDefault="002D4C9E" w:rsidP="00AB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9E" w:rsidRDefault="002D4C9E" w:rsidP="00AB2B82">
      <w:pPr>
        <w:spacing w:after="0" w:line="240" w:lineRule="auto"/>
      </w:pPr>
      <w:r>
        <w:separator/>
      </w:r>
    </w:p>
  </w:footnote>
  <w:footnote w:type="continuationSeparator" w:id="0">
    <w:p w:rsidR="002D4C9E" w:rsidRDefault="002D4C9E" w:rsidP="00AB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DA" w:rsidRDefault="007270DA" w:rsidP="00AB2B82">
    <w:pPr>
      <w:pStyle w:val="Nagwek"/>
      <w:rPr>
        <w:noProof/>
        <w:lang w:eastAsia="pl-PL"/>
      </w:rPr>
    </w:pPr>
  </w:p>
  <w:p w:rsidR="007270DA" w:rsidRDefault="007270DA" w:rsidP="00C87C9C">
    <w:pPr>
      <w:pStyle w:val="Nagwek"/>
      <w:tabs>
        <w:tab w:val="clear" w:pos="4536"/>
        <w:tab w:val="center" w:pos="4253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E4480C" wp14:editId="72ACA7AF">
          <wp:simplePos x="0" y="0"/>
          <wp:positionH relativeFrom="column">
            <wp:posOffset>-175895</wp:posOffset>
          </wp:positionH>
          <wp:positionV relativeFrom="paragraph">
            <wp:posOffset>-220980</wp:posOffset>
          </wp:positionV>
          <wp:extent cx="2109470" cy="780415"/>
          <wp:effectExtent l="0" t="0" r="508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7157">
      <w:tab/>
    </w:r>
    <w:r>
      <w:t xml:space="preserve"> ALDESA CONSTRUCCIONES</w:t>
    </w:r>
    <w:r w:rsidR="00021DA8">
      <w:t xml:space="preserve">            </w:t>
    </w:r>
    <w:r>
      <w:tab/>
    </w:r>
    <w:r w:rsidR="00097157">
      <w:t>Projekt i budowa Instytu</w:t>
    </w:r>
    <w:r w:rsidR="00C87C9C">
      <w:t xml:space="preserve">tu </w:t>
    </w:r>
    <w:r w:rsidR="00097157">
      <w:t xml:space="preserve"> Nauk </w:t>
    </w:r>
  </w:p>
  <w:p w:rsidR="00C87C9C" w:rsidRDefault="00097157" w:rsidP="00C87C9C">
    <w:pPr>
      <w:pStyle w:val="Nagwek"/>
      <w:tabs>
        <w:tab w:val="clear" w:pos="4536"/>
        <w:tab w:val="center" w:pos="3828"/>
      </w:tabs>
    </w:pPr>
    <w:r>
      <w:tab/>
      <w:t xml:space="preserve">      Polska Sp. z o.o.</w:t>
    </w:r>
    <w:r w:rsidR="00021DA8">
      <w:t xml:space="preserve">          </w:t>
    </w:r>
    <w:r w:rsidR="00C87C9C">
      <w:t xml:space="preserve">            </w:t>
    </w:r>
    <w:r w:rsidR="00021DA8">
      <w:tab/>
    </w:r>
    <w:r>
      <w:t xml:space="preserve">Geologicznych Uniwersytetu </w:t>
    </w:r>
  </w:p>
  <w:p w:rsidR="007270DA" w:rsidRDefault="00C87C9C" w:rsidP="00C87C9C">
    <w:pPr>
      <w:pStyle w:val="Nagwek"/>
      <w:tabs>
        <w:tab w:val="clear" w:pos="4536"/>
        <w:tab w:val="center" w:pos="3828"/>
      </w:tabs>
    </w:pPr>
    <w:r>
      <w:tab/>
    </w:r>
    <w:r>
      <w:tab/>
    </w:r>
    <w:r w:rsidR="00097157">
      <w:t>Jagiellońskiego</w:t>
    </w:r>
  </w:p>
  <w:p w:rsidR="00C87C9C" w:rsidRDefault="007270DA" w:rsidP="00AB2B82">
    <w:pPr>
      <w:pStyle w:val="Nagwek"/>
    </w:pPr>
    <w:r>
      <w:tab/>
    </w:r>
    <w:r>
      <w:tab/>
    </w:r>
    <w:r w:rsidR="00C87C9C">
      <w:t>w Krakowie przy ul. Gronostajowej</w:t>
    </w:r>
  </w:p>
  <w:p w:rsidR="00C87C9C" w:rsidRDefault="00C87C9C" w:rsidP="00AB2B82">
    <w:pPr>
      <w:pStyle w:val="Nagwek"/>
      <w:pBdr>
        <w:bottom w:val="single" w:sz="6" w:space="1" w:color="auto"/>
      </w:pBdr>
    </w:pPr>
    <w:r>
      <w:tab/>
    </w:r>
    <w:r>
      <w:tab/>
      <w:t>Nr sprawy: CZRP /UJ/501/2013</w:t>
    </w:r>
    <w:r w:rsidR="007270DA">
      <w:t xml:space="preserve">    </w:t>
    </w:r>
  </w:p>
  <w:p w:rsidR="007270DA" w:rsidRDefault="007270DA" w:rsidP="00AB2B82">
    <w:pPr>
      <w:pStyle w:val="Nagwek"/>
    </w:pPr>
    <w:r>
      <w:t xml:space="preserve">                                           </w:t>
    </w:r>
  </w:p>
  <w:p w:rsidR="007270DA" w:rsidRDefault="007270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BAB"/>
    <w:multiLevelType w:val="hybridMultilevel"/>
    <w:tmpl w:val="94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79F7"/>
    <w:multiLevelType w:val="hybridMultilevel"/>
    <w:tmpl w:val="94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5433"/>
    <w:multiLevelType w:val="hybridMultilevel"/>
    <w:tmpl w:val="94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5615"/>
    <w:multiLevelType w:val="hybridMultilevel"/>
    <w:tmpl w:val="94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F5"/>
    <w:rsid w:val="00021DA8"/>
    <w:rsid w:val="0005475B"/>
    <w:rsid w:val="00074AF0"/>
    <w:rsid w:val="00082FDC"/>
    <w:rsid w:val="00097157"/>
    <w:rsid w:val="000B572E"/>
    <w:rsid w:val="000C68F6"/>
    <w:rsid w:val="000E01D9"/>
    <w:rsid w:val="000E0EBE"/>
    <w:rsid w:val="000E5120"/>
    <w:rsid w:val="000F0806"/>
    <w:rsid w:val="000F5DD1"/>
    <w:rsid w:val="000F6154"/>
    <w:rsid w:val="00100682"/>
    <w:rsid w:val="0010321F"/>
    <w:rsid w:val="00107488"/>
    <w:rsid w:val="00120329"/>
    <w:rsid w:val="00126F5F"/>
    <w:rsid w:val="001329F5"/>
    <w:rsid w:val="00165954"/>
    <w:rsid w:val="00177D3A"/>
    <w:rsid w:val="00180BAA"/>
    <w:rsid w:val="001840BB"/>
    <w:rsid w:val="001A4C4C"/>
    <w:rsid w:val="001B109F"/>
    <w:rsid w:val="001C0B3A"/>
    <w:rsid w:val="001D0B54"/>
    <w:rsid w:val="001D4352"/>
    <w:rsid w:val="001E107D"/>
    <w:rsid w:val="001E5C29"/>
    <w:rsid w:val="001E6CDA"/>
    <w:rsid w:val="001F3BF0"/>
    <w:rsid w:val="001F5DC7"/>
    <w:rsid w:val="00205FB7"/>
    <w:rsid w:val="0024197F"/>
    <w:rsid w:val="00261F33"/>
    <w:rsid w:val="00271D7A"/>
    <w:rsid w:val="00286216"/>
    <w:rsid w:val="002A233C"/>
    <w:rsid w:val="002C71C0"/>
    <w:rsid w:val="002C7C52"/>
    <w:rsid w:val="002D15F8"/>
    <w:rsid w:val="002D4BEE"/>
    <w:rsid w:val="002D4C9E"/>
    <w:rsid w:val="002D5FDB"/>
    <w:rsid w:val="002D6CAC"/>
    <w:rsid w:val="002E1C9F"/>
    <w:rsid w:val="002E46A0"/>
    <w:rsid w:val="002F587E"/>
    <w:rsid w:val="002F7672"/>
    <w:rsid w:val="00335558"/>
    <w:rsid w:val="00341BB9"/>
    <w:rsid w:val="00347BC8"/>
    <w:rsid w:val="00361011"/>
    <w:rsid w:val="00364CCA"/>
    <w:rsid w:val="00384767"/>
    <w:rsid w:val="003941B5"/>
    <w:rsid w:val="003B3CCF"/>
    <w:rsid w:val="003C147C"/>
    <w:rsid w:val="003C5811"/>
    <w:rsid w:val="00414679"/>
    <w:rsid w:val="0041551F"/>
    <w:rsid w:val="00421C65"/>
    <w:rsid w:val="00424617"/>
    <w:rsid w:val="0043135D"/>
    <w:rsid w:val="00431CA1"/>
    <w:rsid w:val="00432051"/>
    <w:rsid w:val="00436898"/>
    <w:rsid w:val="00444487"/>
    <w:rsid w:val="004602A3"/>
    <w:rsid w:val="00463B23"/>
    <w:rsid w:val="00473454"/>
    <w:rsid w:val="004855BC"/>
    <w:rsid w:val="00491680"/>
    <w:rsid w:val="004D4973"/>
    <w:rsid w:val="00520724"/>
    <w:rsid w:val="00540CBE"/>
    <w:rsid w:val="00540F38"/>
    <w:rsid w:val="005863FA"/>
    <w:rsid w:val="005B077A"/>
    <w:rsid w:val="005B1C93"/>
    <w:rsid w:val="005C2A5A"/>
    <w:rsid w:val="005C4BF9"/>
    <w:rsid w:val="005D1322"/>
    <w:rsid w:val="005D1986"/>
    <w:rsid w:val="005F56A3"/>
    <w:rsid w:val="005F6BAA"/>
    <w:rsid w:val="006012A1"/>
    <w:rsid w:val="0061157D"/>
    <w:rsid w:val="00664C83"/>
    <w:rsid w:val="0067090E"/>
    <w:rsid w:val="006711E4"/>
    <w:rsid w:val="00673AED"/>
    <w:rsid w:val="006A1584"/>
    <w:rsid w:val="006A6D02"/>
    <w:rsid w:val="006E10F3"/>
    <w:rsid w:val="00705926"/>
    <w:rsid w:val="007270DA"/>
    <w:rsid w:val="00730CBC"/>
    <w:rsid w:val="00741B8D"/>
    <w:rsid w:val="0075370D"/>
    <w:rsid w:val="00782140"/>
    <w:rsid w:val="007D1E23"/>
    <w:rsid w:val="007D4F65"/>
    <w:rsid w:val="008122E2"/>
    <w:rsid w:val="0083098D"/>
    <w:rsid w:val="00833A9D"/>
    <w:rsid w:val="0084277C"/>
    <w:rsid w:val="00843C5C"/>
    <w:rsid w:val="00862487"/>
    <w:rsid w:val="0087467A"/>
    <w:rsid w:val="008A7234"/>
    <w:rsid w:val="008B781C"/>
    <w:rsid w:val="008D7884"/>
    <w:rsid w:val="008E5DA3"/>
    <w:rsid w:val="00905281"/>
    <w:rsid w:val="009407CD"/>
    <w:rsid w:val="0094310A"/>
    <w:rsid w:val="00983EC8"/>
    <w:rsid w:val="00990D52"/>
    <w:rsid w:val="00991D8F"/>
    <w:rsid w:val="009E141B"/>
    <w:rsid w:val="009F0F6E"/>
    <w:rsid w:val="009F1502"/>
    <w:rsid w:val="00A02377"/>
    <w:rsid w:val="00A1206C"/>
    <w:rsid w:val="00A2296C"/>
    <w:rsid w:val="00A72522"/>
    <w:rsid w:val="00A737D8"/>
    <w:rsid w:val="00A94529"/>
    <w:rsid w:val="00A95CB7"/>
    <w:rsid w:val="00A961E2"/>
    <w:rsid w:val="00AA28B3"/>
    <w:rsid w:val="00AB2B82"/>
    <w:rsid w:val="00AE5E9E"/>
    <w:rsid w:val="00AF5319"/>
    <w:rsid w:val="00AF54FC"/>
    <w:rsid w:val="00B144A3"/>
    <w:rsid w:val="00B16BC0"/>
    <w:rsid w:val="00B4324D"/>
    <w:rsid w:val="00B475F3"/>
    <w:rsid w:val="00B6259B"/>
    <w:rsid w:val="00B705B1"/>
    <w:rsid w:val="00B71EC1"/>
    <w:rsid w:val="00B85382"/>
    <w:rsid w:val="00B90F8E"/>
    <w:rsid w:val="00BA1AAD"/>
    <w:rsid w:val="00BA30C0"/>
    <w:rsid w:val="00BD0C31"/>
    <w:rsid w:val="00BD1631"/>
    <w:rsid w:val="00BD1B86"/>
    <w:rsid w:val="00BD3657"/>
    <w:rsid w:val="00BD3A65"/>
    <w:rsid w:val="00BE31A5"/>
    <w:rsid w:val="00BF1F22"/>
    <w:rsid w:val="00BF6795"/>
    <w:rsid w:val="00C03AFF"/>
    <w:rsid w:val="00C15F85"/>
    <w:rsid w:val="00C34217"/>
    <w:rsid w:val="00C77ADB"/>
    <w:rsid w:val="00C86DB3"/>
    <w:rsid w:val="00C8783D"/>
    <w:rsid w:val="00C87C9C"/>
    <w:rsid w:val="00C9350A"/>
    <w:rsid w:val="00C95EC5"/>
    <w:rsid w:val="00CA153D"/>
    <w:rsid w:val="00CB03BB"/>
    <w:rsid w:val="00CC22A2"/>
    <w:rsid w:val="00CE34FE"/>
    <w:rsid w:val="00D10C75"/>
    <w:rsid w:val="00D2470C"/>
    <w:rsid w:val="00D30763"/>
    <w:rsid w:val="00D33898"/>
    <w:rsid w:val="00D40456"/>
    <w:rsid w:val="00D67422"/>
    <w:rsid w:val="00D679BE"/>
    <w:rsid w:val="00D862A5"/>
    <w:rsid w:val="00D9207D"/>
    <w:rsid w:val="00D9794F"/>
    <w:rsid w:val="00DA7224"/>
    <w:rsid w:val="00DB2154"/>
    <w:rsid w:val="00DD5678"/>
    <w:rsid w:val="00DE1277"/>
    <w:rsid w:val="00E064CC"/>
    <w:rsid w:val="00E27ABC"/>
    <w:rsid w:val="00E30BF1"/>
    <w:rsid w:val="00E61A85"/>
    <w:rsid w:val="00E674FB"/>
    <w:rsid w:val="00E70D62"/>
    <w:rsid w:val="00E81C49"/>
    <w:rsid w:val="00E87B7E"/>
    <w:rsid w:val="00EB43E4"/>
    <w:rsid w:val="00EB4A3C"/>
    <w:rsid w:val="00EE2D5F"/>
    <w:rsid w:val="00EF4999"/>
    <w:rsid w:val="00F20E50"/>
    <w:rsid w:val="00F3051F"/>
    <w:rsid w:val="00F343D0"/>
    <w:rsid w:val="00F9063C"/>
    <w:rsid w:val="00FD073E"/>
    <w:rsid w:val="00FD1168"/>
    <w:rsid w:val="00FD3367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F67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3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B82"/>
  </w:style>
  <w:style w:type="paragraph" w:styleId="Stopka">
    <w:name w:val="footer"/>
    <w:basedOn w:val="Normalny"/>
    <w:link w:val="StopkaZnak"/>
    <w:uiPriority w:val="99"/>
    <w:unhideWhenUsed/>
    <w:rsid w:val="00AB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82"/>
  </w:style>
  <w:style w:type="paragraph" w:styleId="Tekstdymka">
    <w:name w:val="Balloon Text"/>
    <w:basedOn w:val="Normalny"/>
    <w:link w:val="TekstdymkaZnak"/>
    <w:uiPriority w:val="99"/>
    <w:semiHidden/>
    <w:unhideWhenUsed/>
    <w:rsid w:val="00C7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A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A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F67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3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B82"/>
  </w:style>
  <w:style w:type="paragraph" w:styleId="Stopka">
    <w:name w:val="footer"/>
    <w:basedOn w:val="Normalny"/>
    <w:link w:val="StopkaZnak"/>
    <w:uiPriority w:val="99"/>
    <w:unhideWhenUsed/>
    <w:rsid w:val="00AB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82"/>
  </w:style>
  <w:style w:type="paragraph" w:styleId="Tekstdymka">
    <w:name w:val="Balloon Text"/>
    <w:basedOn w:val="Normalny"/>
    <w:link w:val="TekstdymkaZnak"/>
    <w:uiPriority w:val="99"/>
    <w:semiHidden/>
    <w:unhideWhenUsed/>
    <w:rsid w:val="00C7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A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A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10B5-B9BF-444A-AC81-531FB946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m.iwanowski</dc:creator>
  <cp:lastModifiedBy>j.podgorny</cp:lastModifiedBy>
  <cp:revision>2</cp:revision>
  <cp:lastPrinted>2014-04-16T12:25:00Z</cp:lastPrinted>
  <dcterms:created xsi:type="dcterms:W3CDTF">2014-04-16T13:25:00Z</dcterms:created>
  <dcterms:modified xsi:type="dcterms:W3CDTF">2014-04-16T13:25:00Z</dcterms:modified>
</cp:coreProperties>
</file>